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7B" w:rsidRDefault="009F027B" w:rsidP="009F027B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Style w:val="a4"/>
          <w:color w:val="000000"/>
          <w:sz w:val="36"/>
          <w:szCs w:val="36"/>
          <w:shd w:val="clear" w:color="auto" w:fill="FFFFFF"/>
        </w:rPr>
        <w:t>Дидактическое наглядное  пособие</w:t>
      </w:r>
    </w:p>
    <w:p w:rsidR="009F027B" w:rsidRDefault="009F027B" w:rsidP="009F027B">
      <w:pPr>
        <w:pStyle w:val="a3"/>
        <w:spacing w:line="360" w:lineRule="auto"/>
        <w:ind w:left="0" w:firstLine="709"/>
        <w:jc w:val="center"/>
        <w:rPr>
          <w:rStyle w:val="a4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"Пять пальчико</w:t>
      </w: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Табан</w:t>
      </w:r>
      <w:proofErr w:type="spellEnd"/>
      <w:r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хурган</w:t>
      </w:r>
      <w:proofErr w:type="spellEnd"/>
      <w:r>
        <w:rPr>
          <w:rStyle w:val="a4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"</w:t>
      </w:r>
    </w:p>
    <w:p w:rsidR="009F027B" w:rsidRDefault="009F027B" w:rsidP="009F02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        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89735" cy="2245995"/>
            <wp:effectExtent l="19050" t="0" r="5715" b="0"/>
            <wp:docPr id="1" name="Рисунок 1" descr="IMG_20181213_18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181213_1819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7B" w:rsidRDefault="009F027B" w:rsidP="009F027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пособия: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детям запомнить речевые модули без затруднений в игровой форме. Развивать речевые умения детей: умен</w:t>
      </w:r>
      <w:r w:rsidR="00104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описывать погоду, свою маму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бурятском языке, а также выучить цвета и счет; </w:t>
      </w:r>
    </w:p>
    <w:p w:rsidR="009F027B" w:rsidRDefault="009F027B" w:rsidP="009F02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предназначена для запоминания названий пальчиков на бурятском языке: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Баарбаадай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батан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туулай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тоохон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бишиихан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шэгшуудэй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 для  описывания предметов и разучивания вопросов и ответов на бурятском языке, </w:t>
      </w:r>
      <w:r>
        <w:rPr>
          <w:rFonts w:ascii="Times New Roman" w:hAnsi="Times New Roman" w:cs="Times New Roman"/>
          <w:sz w:val="28"/>
          <w:szCs w:val="28"/>
        </w:rPr>
        <w:t xml:space="preserve"> каждый пальчик берет себе слово или словосочетание, 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вопрос: « Что мы видим на улице?-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харанабши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?», дети с помощью пальчиков-помощников отвечают: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Барбаадай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(большой пальчик)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улице есть солнце», </w:t>
      </w:r>
      <w:r>
        <w:rPr>
          <w:rFonts w:ascii="Times New Roman" w:hAnsi="Times New Roman" w:cs="Times New Roman"/>
          <w:b/>
          <w:sz w:val="28"/>
          <w:szCs w:val="28"/>
        </w:rPr>
        <w:t xml:space="preserve">«Батан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туулай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(указательный пальчик) -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на улице есть тучка»,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Тоохон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тобшо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(средний пальчик)-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на улице есть птичка, </w:t>
      </w:r>
      <w:r>
        <w:rPr>
          <w:rFonts w:ascii="Times New Roman" w:hAnsi="Times New Roman" w:cs="Times New Roman"/>
          <w:b/>
          <w:sz w:val="28"/>
          <w:szCs w:val="28"/>
        </w:rPr>
        <w:t xml:space="preserve">«Толи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 безымянный пальчик)-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на улице дерево»,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Бишиихан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шэгшуудэй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(мизинчик)</w:t>
      </w:r>
      <w:r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улице есть дом».В  старших группах   по каждой тематике  пальчикам присваиваются  новые слова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и новый вопрос</w:t>
      </w:r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 -  Какая твоя мама?» ( Моя мама красива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айхан, Моя мама </w:t>
      </w:r>
      <w:r>
        <w:rPr>
          <w:rFonts w:ascii="Times New Roman" w:hAnsi="Times New Roman" w:cs="Times New Roman"/>
          <w:sz w:val="28"/>
          <w:szCs w:val="28"/>
          <w:lang w:val="mn-MN"/>
        </w:rPr>
        <w:lastRenderedPageBreak/>
        <w:t xml:space="preserve">добрая-Минии эжы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mn-MN"/>
        </w:rPr>
        <w:t>айн и т.д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Сэсэг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унгэтэйб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унгэтэй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шара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унгэтэй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хухэ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унгэтэй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унгэтэй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ягаан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унгэтэй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9F027B" w:rsidRDefault="009F027B" w:rsidP="009F027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также используем для организации речевых, игровых ситуаций и для знакомства со сказкой «Пять пальчиков».</w:t>
      </w:r>
    </w:p>
    <w:p w:rsidR="009F027B" w:rsidRDefault="009F027B" w:rsidP="009F027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873B4" w:rsidRDefault="00F873B4"/>
    <w:sectPr w:rsidR="00F873B4" w:rsidSect="00BC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F027B"/>
    <w:rsid w:val="00104952"/>
    <w:rsid w:val="009F027B"/>
    <w:rsid w:val="00BC6656"/>
    <w:rsid w:val="00F8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7B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9F02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2019-09-26T10:35:00Z</dcterms:created>
  <dcterms:modified xsi:type="dcterms:W3CDTF">2019-09-27T00:44:00Z</dcterms:modified>
</cp:coreProperties>
</file>